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eastAsia" w:ascii="宋体" w:hAnsi="宋体" w:eastAsia="宋体" w:cs="宋体"/>
          <w:color w:val="auto"/>
          <w:lang w:val="en-US"/>
        </w:rPr>
      </w:pPr>
      <w:r>
        <w:rPr>
          <w:rFonts w:hint="eastAsia" w:ascii="宋体" w:hAnsi="宋体" w:eastAsia="宋体" w:cs="宋体"/>
          <w:color w:val="auto"/>
          <w:lang w:eastAsia="zh-CN"/>
        </w:rPr>
        <w:t>东华理工大学</w:t>
      </w:r>
      <w:bookmarkStart w:id="0" w:name="_GoBack"/>
      <w:bookmarkEnd w:id="0"/>
      <w:r>
        <w:rPr>
          <w:rFonts w:hint="eastAsia" w:ascii="宋体" w:hAnsi="宋体" w:eastAsia="宋体" w:cs="宋体"/>
          <w:color w:val="auto"/>
          <w:lang w:eastAsia="zh-CN"/>
        </w:rPr>
        <w:t>优秀硕士学位论文评选办法</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 w:val="24"/>
          <w:szCs w:val="24"/>
          <w:lang w:val="en-US"/>
        </w:rPr>
      </w:pPr>
      <w:r>
        <w:rPr>
          <w:rFonts w:hint="eastAsia" w:ascii="楷体" w:hAnsi="楷体" w:eastAsia="楷体" w:cs="楷体"/>
          <w:color w:val="auto"/>
          <w:kern w:val="2"/>
          <w:sz w:val="28"/>
          <w:szCs w:val="28"/>
          <w:lang w:val="en-US" w:eastAsia="zh-CN" w:bidi="ar"/>
        </w:rPr>
        <w:t xml:space="preserve">    </w:t>
      </w:r>
      <w:r>
        <w:rPr>
          <w:rFonts w:hint="eastAsia" w:ascii="宋体" w:hAnsi="宋体" w:eastAsia="宋体" w:cs="宋体"/>
          <w:color w:val="auto"/>
          <w:kern w:val="2"/>
          <w:sz w:val="24"/>
          <w:szCs w:val="24"/>
          <w:lang w:val="en-US" w:eastAsia="zh-CN" w:bidi="ar"/>
        </w:rPr>
        <w:t>硕士学位论文是体现学位申请人学术水平的重要依据，也是学位与研究生教育质量的重要标志。</w:t>
      </w:r>
      <w:r>
        <w:rPr>
          <w:rFonts w:hint="eastAsia" w:ascii="宋体" w:hAnsi="宋体" w:eastAsia="宋体" w:cs="宋体"/>
          <w:color w:val="auto"/>
          <w:kern w:val="2"/>
          <w:sz w:val="24"/>
          <w:szCs w:val="24"/>
          <w:lang w:val="en-US" w:eastAsia="zh-CN" w:bidi="ar"/>
        </w:rPr>
        <w:t>为进一步提高我校学位论文质量，鼓励创新，表彰先进，促进高层次创新人才和拔尖人才的培养，</w:t>
      </w:r>
      <w:r>
        <w:rPr>
          <w:rFonts w:hint="eastAsia" w:ascii="宋体" w:hAnsi="宋体" w:eastAsia="宋体" w:cs="宋体"/>
          <w:color w:val="auto"/>
          <w:kern w:val="2"/>
          <w:sz w:val="24"/>
          <w:szCs w:val="24"/>
          <w:lang w:val="en-US" w:eastAsia="zh-CN" w:bidi="ar"/>
        </w:rPr>
        <w:t>特制定本办法。</w:t>
      </w:r>
    </w:p>
    <w:p>
      <w:pPr>
        <w:keepNext w:val="0"/>
        <w:keepLines w:val="0"/>
        <w:widowControl w:val="0"/>
        <w:numPr>
          <w:ilvl w:val="0"/>
          <w:numId w:val="1"/>
        </w:numPr>
        <w:suppressLineNumbers w:val="0"/>
        <w:spacing w:before="0" w:beforeAutospacing="0" w:after="0" w:afterAutospacing="0" w:line="360" w:lineRule="auto"/>
        <w:ind w:left="1169" w:right="0" w:hanging="885"/>
        <w:jc w:val="both"/>
        <w:rPr>
          <w:rFonts w:hint="eastAsia" w:ascii="宋体" w:hAnsi="宋体" w:eastAsia="宋体" w:cs="宋体"/>
          <w:b/>
          <w:bCs w:val="0"/>
          <w:color w:val="auto"/>
          <w:sz w:val="24"/>
          <w:szCs w:val="24"/>
          <w:lang w:val="en-US"/>
        </w:rPr>
      </w:pPr>
      <w:r>
        <w:rPr>
          <w:rFonts w:hint="eastAsia" w:ascii="宋体" w:hAnsi="宋体" w:eastAsia="宋体" w:cs="宋体"/>
          <w:b/>
          <w:bCs w:val="0"/>
          <w:color w:val="auto"/>
          <w:kern w:val="2"/>
          <w:sz w:val="24"/>
          <w:szCs w:val="24"/>
          <w:lang w:val="en-US" w:eastAsia="zh-CN" w:bidi="ar"/>
        </w:rPr>
        <w:t xml:space="preserve"> 评选原则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 xml:space="preserve">    优秀硕士学位论文评选本着“</w:t>
      </w:r>
      <w:r>
        <w:rPr>
          <w:rFonts w:hint="eastAsia" w:ascii="宋体" w:hAnsi="宋体" w:eastAsia="宋体" w:cs="宋体"/>
          <w:color w:val="auto"/>
          <w:kern w:val="2"/>
          <w:sz w:val="24"/>
          <w:szCs w:val="24"/>
          <w:lang w:val="en-US" w:eastAsia="zh-CN" w:bidi="ar"/>
        </w:rPr>
        <w:t>科学公正、注重创新、严格筛选、宁缺勿滥</w:t>
      </w:r>
      <w:r>
        <w:rPr>
          <w:rFonts w:hint="eastAsia" w:ascii="宋体" w:hAnsi="宋体" w:eastAsia="宋体" w:cs="宋体"/>
          <w:color w:val="auto"/>
          <w:kern w:val="2"/>
          <w:sz w:val="24"/>
          <w:szCs w:val="24"/>
          <w:lang w:val="en-US" w:eastAsia="zh-CN" w:bidi="ar"/>
        </w:rPr>
        <w:t>”的原则。</w:t>
      </w:r>
    </w:p>
    <w:p>
      <w:pPr>
        <w:keepNext w:val="0"/>
        <w:keepLines w:val="0"/>
        <w:widowControl w:val="0"/>
        <w:numPr>
          <w:ilvl w:val="0"/>
          <w:numId w:val="1"/>
        </w:numPr>
        <w:suppressLineNumbers w:val="0"/>
        <w:spacing w:before="0" w:beforeAutospacing="0" w:after="0" w:afterAutospacing="0" w:line="360" w:lineRule="auto"/>
        <w:ind w:left="1169" w:right="0" w:hanging="885"/>
        <w:jc w:val="both"/>
        <w:rPr>
          <w:rFonts w:hint="eastAsia" w:ascii="宋体" w:hAnsi="宋体" w:eastAsia="宋体" w:cs="宋体"/>
          <w:b/>
          <w:bCs w:val="0"/>
          <w:color w:val="auto"/>
          <w:sz w:val="24"/>
          <w:szCs w:val="24"/>
          <w:lang w:val="en-US"/>
        </w:rPr>
      </w:pPr>
      <w:r>
        <w:rPr>
          <w:rFonts w:hint="eastAsia" w:ascii="宋体" w:hAnsi="宋体" w:eastAsia="宋体" w:cs="宋体"/>
          <w:b/>
          <w:bCs w:val="0"/>
          <w:color w:val="auto"/>
          <w:kern w:val="2"/>
          <w:sz w:val="24"/>
          <w:szCs w:val="24"/>
          <w:lang w:val="en-US" w:eastAsia="zh-CN" w:bidi="ar"/>
        </w:rPr>
        <w:t xml:space="preserve"> 评选范围</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（一）优秀硕士学位论文的评定名额不超过当季全校通过答辩的学位论文总数的10%；</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（二）评选工作一般不受理涉密硕士学位论文作者的申请。</w:t>
      </w:r>
    </w:p>
    <w:p>
      <w:pPr>
        <w:keepNext w:val="0"/>
        <w:keepLines w:val="0"/>
        <w:widowControl w:val="0"/>
        <w:numPr>
          <w:ilvl w:val="0"/>
          <w:numId w:val="1"/>
        </w:numPr>
        <w:suppressLineNumbers w:val="0"/>
        <w:spacing w:before="0" w:beforeAutospacing="0" w:after="0" w:afterAutospacing="0" w:line="360" w:lineRule="auto"/>
        <w:ind w:left="1169" w:right="0" w:hanging="885"/>
        <w:jc w:val="both"/>
        <w:rPr>
          <w:rFonts w:hint="eastAsia" w:ascii="宋体" w:hAnsi="宋体" w:eastAsia="宋体" w:cs="宋体"/>
          <w:b/>
          <w:bCs w:val="0"/>
          <w:color w:val="auto"/>
          <w:sz w:val="24"/>
          <w:szCs w:val="24"/>
          <w:lang w:val="en-US"/>
        </w:rPr>
      </w:pPr>
      <w:r>
        <w:rPr>
          <w:rFonts w:hint="eastAsia" w:ascii="宋体" w:hAnsi="宋体" w:eastAsia="宋体" w:cs="宋体"/>
          <w:b/>
          <w:bCs w:val="0"/>
          <w:color w:val="auto"/>
          <w:kern w:val="2"/>
          <w:sz w:val="24"/>
          <w:szCs w:val="24"/>
          <w:lang w:val="en-US" w:eastAsia="zh-CN" w:bidi="ar"/>
        </w:rPr>
        <w:t>评选条件</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（一）选题为本学科前沿课题，有较大的理论意义和现实意义，有较好的创新性和实用价值，具有一定的社会效益或应用前景；</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（二）论文能体现作者掌握本学科坚实的理论基础和系统的专门知识，具有较好的从事科学研究工作或独立担负专门技术工作的能力；</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（三）送校外同行专家评审的2份学位论文评阅成绩均达到80分及以上；学位论文的答辩平均成绩达到85分及以上；</w:t>
      </w:r>
    </w:p>
    <w:p>
      <w:pPr>
        <w:pStyle w:val="3"/>
        <w:widowControl/>
        <w:spacing w:before="0" w:beforeAutospacing="0" w:after="0" w:afterAutospacing="0" w:line="360" w:lineRule="auto"/>
        <w:ind w:left="225" w:right="75" w:firstLine="151" w:firstLineChars="63"/>
        <w:rPr>
          <w:color w:val="auto"/>
        </w:rPr>
      </w:pPr>
      <w:r>
        <w:rPr>
          <w:color w:val="auto"/>
          <w:lang w:eastAsia="zh-CN"/>
        </w:rPr>
        <w:t>（四）在攻读硕士学位期间，取得一定的科研成果，需具备下列条件：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 w:val="24"/>
          <w:szCs w:val="24"/>
          <w:lang w:val="en-US"/>
        </w:rPr>
      </w:pPr>
      <w:r>
        <w:rPr>
          <w:rFonts w:hint="eastAsia" w:ascii="宋体" w:hAnsi="宋体" w:eastAsia="宋体" w:cs="宋体"/>
          <w:color w:val="auto"/>
          <w:kern w:val="0"/>
          <w:sz w:val="24"/>
          <w:szCs w:val="24"/>
          <w:lang w:val="en-US" w:eastAsia="zh-CN" w:bidi="ar"/>
        </w:rPr>
        <w:t>（1）理工类：研究生在中文核心及以上学术期刊发表与学位论文内容相关的论文1篇及以上；或有1项及以上技术方案被相关单位或企业所采用(以完整的技术方案和使用单位提供的证明材料为依据)；或者获批1项及以上与论文内容密切相关的发明专利。</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 w:val="24"/>
          <w:szCs w:val="24"/>
          <w:lang w:val="en-US"/>
        </w:rPr>
      </w:pPr>
      <w:r>
        <w:rPr>
          <w:rFonts w:hint="eastAsia" w:ascii="宋体" w:hAnsi="宋体" w:eastAsia="宋体" w:cs="宋体"/>
          <w:color w:val="auto"/>
          <w:kern w:val="0"/>
          <w:sz w:val="24"/>
          <w:szCs w:val="24"/>
          <w:lang w:val="en-US" w:eastAsia="zh-CN" w:bidi="ar"/>
        </w:rPr>
        <w:t>（2）人文社科类：研究生在中文核心及以上学术期刊发表与学位论文内容相关的论文1篇及以上；或有1项及以上咨询报告被相关单位或企业所采用(以完整的咨询报告和使用单位提供的证明材料为依据)。</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b/>
          <w:bCs w:val="0"/>
          <w:color w:val="auto"/>
          <w:kern w:val="0"/>
          <w:sz w:val="24"/>
          <w:szCs w:val="24"/>
          <w:lang w:val="en-US" w:eastAsia="zh-CN" w:bidi="ar"/>
        </w:rPr>
        <w:t>第四条 评选程序</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（一）</w:t>
      </w:r>
      <w:r>
        <w:rPr>
          <w:rFonts w:hint="eastAsia" w:ascii="宋体" w:hAnsi="宋体" w:eastAsia="宋体" w:cs="宋体"/>
          <w:color w:val="auto"/>
          <w:kern w:val="0"/>
          <w:sz w:val="24"/>
          <w:szCs w:val="24"/>
          <w:lang w:val="en-US" w:eastAsia="zh-CN" w:bidi="ar"/>
        </w:rPr>
        <w:t>作者及其导师申请，学院学位评定分委员会对符合评选条件的学位论文按限额评选推荐；</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（二）</w:t>
      </w:r>
      <w:r>
        <w:rPr>
          <w:rFonts w:hint="eastAsia" w:ascii="宋体" w:hAnsi="宋体" w:eastAsia="宋体" w:cs="宋体"/>
          <w:color w:val="auto"/>
          <w:kern w:val="0"/>
          <w:sz w:val="24"/>
          <w:szCs w:val="24"/>
          <w:lang w:val="en-US" w:eastAsia="zh-CN" w:bidi="ar"/>
        </w:rPr>
        <w:t>研究生院审定；</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（三）</w:t>
      </w:r>
      <w:r>
        <w:rPr>
          <w:rFonts w:hint="eastAsia" w:ascii="宋体" w:hAnsi="宋体" w:eastAsia="宋体" w:cs="宋体"/>
          <w:color w:val="auto"/>
          <w:kern w:val="0"/>
          <w:sz w:val="24"/>
          <w:szCs w:val="24"/>
          <w:lang w:val="en-US" w:eastAsia="zh-CN" w:bidi="ar"/>
        </w:rPr>
        <w:t xml:space="preserve">评选结果公示7天，对公示无异议的优秀硕士学位论文发文公布，对有争议的学位论文交院学位评定分委员会复审。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 w:val="24"/>
          <w:szCs w:val="24"/>
          <w:lang w:val="en-US"/>
        </w:rPr>
      </w:pPr>
      <w:r>
        <w:rPr>
          <w:rFonts w:hint="eastAsia" w:ascii="宋体" w:hAnsi="宋体" w:eastAsia="宋体" w:cs="宋体"/>
          <w:b/>
          <w:bCs w:val="0"/>
          <w:color w:val="auto"/>
          <w:kern w:val="2"/>
          <w:sz w:val="24"/>
          <w:szCs w:val="24"/>
          <w:lang w:val="en-US" w:eastAsia="zh-CN" w:bidi="ar"/>
        </w:rPr>
        <w:t xml:space="preserve">第五条  </w:t>
      </w:r>
      <w:r>
        <w:rPr>
          <w:rFonts w:hint="eastAsia" w:ascii="宋体" w:hAnsi="宋体" w:eastAsia="宋体" w:cs="宋体"/>
          <w:b/>
          <w:bCs w:val="0"/>
          <w:color w:val="auto"/>
          <w:kern w:val="0"/>
          <w:sz w:val="24"/>
          <w:szCs w:val="24"/>
          <w:lang w:val="en-US" w:eastAsia="zh-CN" w:bidi="ar"/>
        </w:rPr>
        <w:t>报送材料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（一）</w:t>
      </w:r>
      <w:r>
        <w:rPr>
          <w:rFonts w:hint="eastAsia" w:ascii="宋体" w:hAnsi="宋体" w:eastAsia="宋体" w:cs="宋体"/>
          <w:color w:val="auto"/>
          <w:kern w:val="0"/>
          <w:sz w:val="24"/>
          <w:szCs w:val="24"/>
          <w:lang w:val="en-US" w:eastAsia="zh-CN" w:bidi="ar"/>
        </w:rPr>
        <w:t>优秀论文2本与一份《东华理工大学优秀学位论文推荐表》；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（二）</w:t>
      </w:r>
      <w:r>
        <w:rPr>
          <w:rFonts w:hint="eastAsia" w:ascii="宋体" w:hAnsi="宋体" w:eastAsia="宋体" w:cs="宋体"/>
          <w:color w:val="auto"/>
          <w:kern w:val="0"/>
          <w:sz w:val="24"/>
          <w:szCs w:val="24"/>
          <w:lang w:val="en-US" w:eastAsia="zh-CN" w:bidi="ar"/>
        </w:rPr>
        <w:t xml:space="preserve">攻读硕士学位期间发表的与硕士学位论文相关的科研成果及有关证明材料复印件与原件各一份。复印件具体包括学术论文的刊物封面、目录及论文首页复印件；专著封面和版权页复印件；获奖证书及专利证书复印件。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val="0"/>
          <w:color w:val="auto"/>
          <w:kern w:val="0"/>
          <w:sz w:val="24"/>
          <w:szCs w:val="24"/>
          <w:lang w:val="en-US"/>
        </w:rPr>
      </w:pPr>
      <w:r>
        <w:rPr>
          <w:rFonts w:hint="eastAsia" w:ascii="宋体" w:hAnsi="宋体" w:eastAsia="宋体" w:cs="宋体"/>
          <w:b/>
          <w:bCs w:val="0"/>
          <w:color w:val="auto"/>
          <w:kern w:val="0"/>
          <w:sz w:val="24"/>
          <w:szCs w:val="24"/>
          <w:lang w:val="en-US" w:eastAsia="zh-CN" w:bidi="ar"/>
        </w:rPr>
        <w:t>第六条  评选时间</w:t>
      </w:r>
    </w:p>
    <w:p>
      <w:pPr>
        <w:keepNext w:val="0"/>
        <w:keepLines w:val="0"/>
        <w:widowControl/>
        <w:suppressLineNumbers w:val="0"/>
        <w:spacing w:before="0" w:beforeAutospacing="0" w:after="0" w:afterAutospacing="0" w:line="360" w:lineRule="auto"/>
        <w:ind w:left="0" w:right="0" w:firstLine="480" w:firstLineChars="200"/>
        <w:jc w:val="left"/>
        <w:rPr>
          <w:rFonts w:hint="eastAsia" w:ascii="宋体" w:hAnsi="宋体" w:eastAsia="宋体" w:cs="宋体"/>
          <w:color w:val="auto"/>
          <w:kern w:val="0"/>
          <w:sz w:val="24"/>
          <w:szCs w:val="24"/>
          <w:lang w:val="en-US"/>
        </w:rPr>
      </w:pPr>
      <w:r>
        <w:rPr>
          <w:rFonts w:hint="eastAsia" w:ascii="宋体" w:hAnsi="宋体" w:eastAsia="宋体" w:cs="宋体"/>
          <w:color w:val="auto"/>
          <w:kern w:val="0"/>
          <w:sz w:val="24"/>
          <w:szCs w:val="24"/>
          <w:lang w:val="en-US" w:eastAsia="zh-CN" w:bidi="ar"/>
        </w:rPr>
        <w:t>每年6月份评选一次。</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val="0"/>
          <w:color w:val="auto"/>
          <w:kern w:val="0"/>
          <w:sz w:val="24"/>
          <w:szCs w:val="24"/>
          <w:lang w:val="en-US"/>
        </w:rPr>
      </w:pPr>
      <w:r>
        <w:rPr>
          <w:rFonts w:hint="eastAsia" w:ascii="宋体" w:hAnsi="宋体" w:eastAsia="宋体" w:cs="宋体"/>
          <w:b/>
          <w:bCs w:val="0"/>
          <w:color w:val="auto"/>
          <w:kern w:val="0"/>
          <w:sz w:val="24"/>
          <w:szCs w:val="24"/>
          <w:lang w:val="en-US" w:eastAsia="zh-CN" w:bidi="ar"/>
        </w:rPr>
        <w:t>第七条  奖励办法</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（一）</w:t>
      </w:r>
      <w:r>
        <w:rPr>
          <w:rFonts w:hint="eastAsia" w:ascii="宋体" w:hAnsi="宋体" w:eastAsia="宋体" w:cs="宋体"/>
          <w:color w:val="auto"/>
          <w:kern w:val="0"/>
          <w:sz w:val="24"/>
          <w:szCs w:val="24"/>
          <w:lang w:val="en-US" w:eastAsia="zh-CN" w:bidi="ar"/>
        </w:rPr>
        <w:t>学校向获得校优秀硕士学位论文的作者及其导师颁发荣誉证书；</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（二）</w:t>
      </w:r>
      <w:r>
        <w:rPr>
          <w:rFonts w:hint="eastAsia" w:ascii="宋体" w:hAnsi="宋体" w:eastAsia="宋体" w:cs="宋体"/>
          <w:color w:val="auto"/>
          <w:kern w:val="0"/>
          <w:sz w:val="24"/>
          <w:szCs w:val="24"/>
          <w:lang w:val="en-US" w:eastAsia="zh-CN" w:bidi="ar"/>
        </w:rPr>
        <w:t xml:space="preserve">对每篇校优秀硕士学位论文的作者奖励500元；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（三）</w:t>
      </w:r>
      <w:r>
        <w:rPr>
          <w:rFonts w:hint="eastAsia" w:ascii="宋体" w:hAnsi="宋体" w:eastAsia="宋体" w:cs="宋体"/>
          <w:color w:val="auto"/>
          <w:kern w:val="0"/>
          <w:sz w:val="24"/>
          <w:szCs w:val="24"/>
          <w:lang w:val="en-US" w:eastAsia="zh-CN" w:bidi="ar"/>
        </w:rPr>
        <w:t xml:space="preserve">省级优秀硕士学位论文的评选，择优从校优秀学位论文中推荐。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val="0"/>
          <w:color w:val="auto"/>
          <w:kern w:val="0"/>
          <w:sz w:val="24"/>
          <w:szCs w:val="24"/>
          <w:lang w:val="en-US"/>
        </w:rPr>
      </w:pPr>
      <w:r>
        <w:rPr>
          <w:rFonts w:hint="eastAsia" w:ascii="宋体" w:hAnsi="宋体" w:eastAsia="宋体" w:cs="宋体"/>
          <w:b/>
          <w:bCs w:val="0"/>
          <w:color w:val="auto"/>
          <w:kern w:val="0"/>
          <w:sz w:val="24"/>
          <w:szCs w:val="24"/>
          <w:lang w:val="en-US" w:eastAsia="zh-CN" w:bidi="ar"/>
        </w:rPr>
        <w:t>第八条  异议处理</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（一）</w:t>
      </w:r>
      <w:r>
        <w:rPr>
          <w:rFonts w:hint="eastAsia" w:ascii="宋体" w:hAnsi="宋体" w:eastAsia="宋体" w:cs="宋体"/>
          <w:color w:val="auto"/>
          <w:kern w:val="0"/>
          <w:sz w:val="24"/>
          <w:szCs w:val="24"/>
          <w:lang w:val="en-US" w:eastAsia="zh-CN" w:bidi="ar"/>
        </w:rPr>
        <w:t xml:space="preserve">为了保证评选结果的公正性和准确性，在公示期间，任何单位或个人如发现被公示的硕士学位论文存在剽窃或作假等严重问题，可以书面方式进行检举、上报校学位办。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kern w:val="0"/>
          <w:sz w:val="24"/>
          <w:szCs w:val="24"/>
          <w:lang w:val="en-US"/>
        </w:rPr>
      </w:pPr>
      <w:r>
        <w:rPr>
          <w:rFonts w:hint="eastAsia" w:ascii="宋体" w:hAnsi="宋体" w:eastAsia="宋体" w:cs="宋体"/>
          <w:color w:val="auto"/>
          <w:kern w:val="2"/>
          <w:sz w:val="24"/>
          <w:szCs w:val="24"/>
          <w:lang w:val="en-US" w:eastAsia="zh-CN" w:bidi="ar"/>
        </w:rPr>
        <w:t>（二）</w:t>
      </w:r>
      <w:r>
        <w:rPr>
          <w:rFonts w:hint="eastAsia" w:ascii="宋体" w:hAnsi="宋体" w:eastAsia="宋体" w:cs="宋体"/>
          <w:color w:val="auto"/>
          <w:kern w:val="0"/>
          <w:sz w:val="24"/>
          <w:szCs w:val="24"/>
          <w:lang w:val="en-US" w:eastAsia="zh-CN" w:bidi="ar"/>
        </w:rPr>
        <w:t xml:space="preserve">校学位办将按照程序对被检举的参评学位论文进行复审。如发现学位论文确实存在学术失范等问题，学校将取消其参加学校优秀硕士学位论文的评选资格；对已获评的优秀学位论文，如发现学位论文确实存在学术失范等问题，将取消其优秀硕士学位论文荣誉称号，追回发放的奖金，并按照国家和学校有关规定取消该论文作者的硕士学位。 </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b/>
          <w:bCs w:val="0"/>
          <w:color w:val="auto"/>
          <w:kern w:val="0"/>
          <w:sz w:val="24"/>
          <w:szCs w:val="24"/>
          <w:lang w:val="en-US"/>
        </w:rPr>
      </w:pPr>
      <w:r>
        <w:rPr>
          <w:rFonts w:hint="eastAsia" w:ascii="宋体" w:hAnsi="宋体" w:eastAsia="宋体" w:cs="宋体"/>
          <w:b/>
          <w:bCs w:val="0"/>
          <w:color w:val="auto"/>
          <w:kern w:val="0"/>
          <w:sz w:val="24"/>
          <w:szCs w:val="24"/>
          <w:lang w:val="en-US" w:eastAsia="zh-CN" w:bidi="ar"/>
        </w:rPr>
        <w:t>第九条  其他事项</w:t>
      </w:r>
    </w:p>
    <w:p>
      <w:pPr>
        <w:keepNext w:val="0"/>
        <w:keepLines w:val="0"/>
        <w:widowControl/>
        <w:numPr>
          <w:ilvl w:val="1"/>
          <w:numId w:val="1"/>
        </w:numPr>
        <w:suppressLineNumbers w:val="0"/>
        <w:spacing w:before="0" w:beforeAutospacing="0" w:after="0" w:afterAutospacing="0" w:line="360" w:lineRule="auto"/>
        <w:ind w:left="0" w:right="0" w:firstLine="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科研成果必须是以东华理工大学为第一单位，本人为第一作者或导师第一作者，本人第二作者。</w:t>
      </w:r>
    </w:p>
    <w:p>
      <w:pPr>
        <w:keepNext w:val="0"/>
        <w:keepLines w:val="0"/>
        <w:widowControl/>
        <w:suppressLineNumbers w:val="0"/>
        <w:shd w:val="clear" w:fill="FFFFFF"/>
        <w:adjustRightInd w:val="0"/>
        <w:snapToGrid w:val="0"/>
        <w:spacing w:before="0" w:beforeAutospacing="0" w:after="0" w:afterAutospacing="0" w:line="360" w:lineRule="auto"/>
        <w:ind w:left="0" w:right="0"/>
        <w:jc w:val="both"/>
        <w:textAlignment w:val="top"/>
        <w:rPr>
          <w:rFonts w:hint="eastAsia" w:ascii="宋体" w:hAnsi="宋体" w:eastAsia="宋体" w:cs="宋体"/>
          <w:bCs/>
          <w:color w:val="auto"/>
          <w:kern w:val="0"/>
          <w:sz w:val="24"/>
          <w:szCs w:val="24"/>
          <w:shd w:val="clear" w:fill="FFFFFF"/>
          <w:lang w:val="en-US"/>
        </w:rPr>
      </w:pPr>
      <w:r>
        <w:rPr>
          <w:rFonts w:hint="eastAsia" w:ascii="宋体" w:hAnsi="宋体" w:eastAsia="宋体" w:cs="宋体"/>
          <w:color w:val="auto"/>
          <w:kern w:val="2"/>
          <w:sz w:val="24"/>
          <w:szCs w:val="24"/>
          <w:shd w:val="clear" w:fill="FFFFFF"/>
          <w:lang w:val="en-US" w:eastAsia="zh-CN" w:bidi="ar"/>
        </w:rPr>
        <w:t>（二）本规定所指核心期刊以发表时间最近的</w:t>
      </w:r>
      <w:r>
        <w:rPr>
          <w:rFonts w:hint="eastAsia" w:ascii="宋体" w:hAnsi="宋体" w:eastAsia="宋体" w:cs="宋体"/>
          <w:snapToGrid w:val="0"/>
          <w:color w:val="auto"/>
          <w:kern w:val="0"/>
          <w:sz w:val="24"/>
          <w:szCs w:val="24"/>
          <w:shd w:val="clear" w:fill="FFFFFF"/>
          <w:lang w:val="en-US" w:eastAsia="zh-CN" w:bidi="ar"/>
        </w:rPr>
        <w:t>北京大学图书馆与北京高校图书馆期刊工作研究会联合编辑出版的《中文核心期刊要目总览》为准。</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bCs/>
          <w:color w:val="auto"/>
          <w:kern w:val="0"/>
          <w:sz w:val="24"/>
          <w:szCs w:val="24"/>
          <w:lang w:val="en-US"/>
        </w:rPr>
      </w:pPr>
      <w:r>
        <w:rPr>
          <w:rFonts w:hint="eastAsia" w:ascii="宋体" w:hAnsi="宋体" w:eastAsia="宋体" w:cs="宋体"/>
          <w:bCs/>
          <w:color w:val="auto"/>
          <w:kern w:val="0"/>
          <w:sz w:val="24"/>
          <w:szCs w:val="24"/>
          <w:lang w:val="en-US" w:eastAsia="zh-CN" w:bidi="ar"/>
        </w:rPr>
        <w:t>（三）本办法由研究生院负责解释。</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（四）本规定从公布之日执行。</w:t>
      </w:r>
    </w:p>
    <w:p>
      <w:pPr>
        <w:rPr>
          <w:color w:val="auto"/>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A00002EF" w:usb1="420020EB" w:usb2="00000000" w:usb3="00000000" w:csb0="2000009F" w:csb1="00000000"/>
  </w:font>
  <w:font w:name="楷体">
    <w:panose1 w:val="02010609060101010101"/>
    <w:charset w:val="86"/>
    <w:family w:val="auto"/>
    <w:pitch w:val="fixed"/>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250AB"/>
    <w:multiLevelType w:val="multilevel"/>
    <w:tmpl w:val="90F250AB"/>
    <w:lvl w:ilvl="0" w:tentative="0">
      <w:start w:val="1"/>
      <w:numFmt w:val="japaneseCounting"/>
      <w:lvlText w:val="第%1条"/>
      <w:lvlJc w:val="left"/>
      <w:pPr>
        <w:ind w:left="1169" w:hanging="885"/>
      </w:pPr>
    </w:lvl>
    <w:lvl w:ilvl="1" w:tentative="0">
      <w:start w:val="1"/>
      <w:numFmt w:val="japaneseCounting"/>
      <w:lvlText w:val="（%2）"/>
      <w:lvlJc w:val="left"/>
      <w:pPr>
        <w:ind w:left="1230" w:hanging="81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8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0"/>
    <w:pPr>
      <w:keepNext/>
      <w:keepLines/>
      <w:widowControl w:val="0"/>
      <w:suppressLineNumbers w:val="0"/>
      <w:spacing w:before="260" w:beforeAutospacing="0" w:after="260" w:afterAutospacing="0" w:line="415" w:lineRule="auto"/>
      <w:ind w:left="0" w:right="0"/>
      <w:jc w:val="both"/>
      <w:outlineLvl w:val="1"/>
    </w:pPr>
    <w:rPr>
      <w:rFonts w:ascii="Arial" w:hAnsi="Arial" w:eastAsia="黑体" w:cs="Times New Roman"/>
      <w:b/>
      <w:kern w:val="2"/>
      <w:sz w:val="32"/>
      <w:szCs w:val="32"/>
      <w:lang w:val="en-US" w:eastAsia="zh-CN" w:bidi="ar"/>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6">
    <w:name w:val="标题 2 Char"/>
    <w:basedOn w:val="4"/>
    <w:link w:val="2"/>
    <w:uiPriority w:val="0"/>
    <w:rPr>
      <w:rFonts w:hint="default" w:ascii="Arial" w:hAnsi="Arial" w:eastAsia="黑体" w:cs="Arial"/>
      <w:b/>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JUSTDOIT1397275893</cp:lastModifiedBy>
  <dcterms:modified xsi:type="dcterms:W3CDTF">2018-05-21T01:01:28Z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